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F108B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08B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0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108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44DB9">
        <w:rPr>
          <w:rFonts w:ascii="Times New Roman" w:hAnsi="Times New Roman" w:cs="Times New Roman"/>
          <w:sz w:val="24"/>
          <w:szCs w:val="24"/>
        </w:rPr>
        <w:t>Инфокоммуникационные сети и системы связи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E44DB9">
        <w:rPr>
          <w:rFonts w:ascii="Times New Roman" w:hAnsi="Times New Roman" w:cs="Times New Roman"/>
          <w:sz w:val="24"/>
          <w:szCs w:val="24"/>
        </w:rPr>
        <w:t>5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E44DB9">
        <w:rPr>
          <w:rFonts w:ascii="Times New Roman" w:hAnsi="Times New Roman" w:cs="Times New Roman"/>
          <w:sz w:val="24"/>
          <w:szCs w:val="24"/>
        </w:rPr>
        <w:t>4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E44DB9">
        <w:rPr>
          <w:rFonts w:ascii="Times New Roman" w:hAnsi="Times New Roman" w:cs="Times New Roman"/>
          <w:sz w:val="24"/>
          <w:szCs w:val="24"/>
        </w:rPr>
        <w:t>4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 xml:space="preserve">10 </w:t>
      </w:r>
      <w:r w:rsidR="007B37C1">
        <w:rPr>
          <w:rFonts w:ascii="Times New Roman" w:hAnsi="Times New Roman" w:cs="Times New Roman"/>
          <w:sz w:val="24"/>
          <w:szCs w:val="24"/>
        </w:rPr>
        <w:t>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44DB9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Пятьсот тридцать</w:t>
      </w:r>
      <w:r w:rsidR="007023AA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44DB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106000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464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D1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B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A8" w:rsidRDefault="00260AA8" w:rsidP="0076657D">
      <w:r>
        <w:separator/>
      </w:r>
    </w:p>
  </w:endnote>
  <w:endnote w:type="continuationSeparator" w:id="0">
    <w:p w:rsidR="00260AA8" w:rsidRDefault="00260AA8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A8" w:rsidRDefault="00260AA8" w:rsidP="0076657D">
      <w:r>
        <w:separator/>
      </w:r>
    </w:p>
  </w:footnote>
  <w:footnote w:type="continuationSeparator" w:id="0">
    <w:p w:rsidR="00260AA8" w:rsidRDefault="00260AA8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0AA8"/>
    <w:rsid w:val="00267BBE"/>
    <w:rsid w:val="00270A9B"/>
    <w:rsid w:val="00275E4E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317BF5"/>
    <w:rsid w:val="00330559"/>
    <w:rsid w:val="00342C4B"/>
    <w:rsid w:val="00350F08"/>
    <w:rsid w:val="0037146E"/>
    <w:rsid w:val="003717CA"/>
    <w:rsid w:val="00377AC9"/>
    <w:rsid w:val="0039260B"/>
    <w:rsid w:val="003A37E3"/>
    <w:rsid w:val="003A4E98"/>
    <w:rsid w:val="003A58D0"/>
    <w:rsid w:val="003B5842"/>
    <w:rsid w:val="003C10A5"/>
    <w:rsid w:val="003D44BF"/>
    <w:rsid w:val="003D52FD"/>
    <w:rsid w:val="003D737E"/>
    <w:rsid w:val="003F10C1"/>
    <w:rsid w:val="0040021E"/>
    <w:rsid w:val="00413EAA"/>
    <w:rsid w:val="00416A10"/>
    <w:rsid w:val="0042685B"/>
    <w:rsid w:val="00450056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36D0"/>
    <w:rsid w:val="00CC6751"/>
    <w:rsid w:val="00CD18E2"/>
    <w:rsid w:val="00CE7122"/>
    <w:rsid w:val="00CE7760"/>
    <w:rsid w:val="00CF3430"/>
    <w:rsid w:val="00D307E3"/>
    <w:rsid w:val="00D33C67"/>
    <w:rsid w:val="00D3446C"/>
    <w:rsid w:val="00D37EF4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44DB9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108BA"/>
    <w:rsid w:val="00F23466"/>
    <w:rsid w:val="00F30F5E"/>
    <w:rsid w:val="00F43E21"/>
    <w:rsid w:val="00F548E9"/>
    <w:rsid w:val="00F62649"/>
    <w:rsid w:val="00F645B8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8DD9-2B35-4B8E-90C1-A8FAD44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2020-08-28T01:39:00Z</cp:lastPrinted>
  <dcterms:created xsi:type="dcterms:W3CDTF">2021-06-17T01:21:00Z</dcterms:created>
  <dcterms:modified xsi:type="dcterms:W3CDTF">2021-07-22T04:39:00Z</dcterms:modified>
</cp:coreProperties>
</file>